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Carlyle Group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 PENNSYLVANIA AVENUE, N.W.</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WASHINGTON</w:t>
            </w:r>
            <w:r>
              <w:rPr/>
              <w:t xml:space="preserve">, </w:t>
            </w:r>
            <w:r>
              <w:rPr>
                <w:rFonts w:ascii="Times;serif" w:hAnsi="Times;serif"/>
                <w:color w:val="0000FF"/>
                <w:sz w:val="24"/>
                <w:shd w:fill="FFFFFF" w:val="clear"/>
              </w:rPr>
              <w:t>DC</w:t>
            </w:r>
            <w:r>
              <w:rPr/>
              <w:t xml:space="preserve">  </w:t>
            </w:r>
            <w:r>
              <w:rPr>
                <w:rFonts w:ascii="Times;serif" w:hAnsi="Times;serif"/>
                <w:color w:val="0000FF"/>
                <w:sz w:val="24"/>
                <w:shd w:fill="FFFFFF" w:val="clear"/>
              </w:rPr>
              <w:t>20004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028-15025</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111,128</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801-52462</w:t>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595"/>
        <w:gridCol w:w="49"/>
        <w:gridCol w:w="2184"/>
        <w:gridCol w:w="1274"/>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0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Anne K. Frederick</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0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Corporate Secretary, The Carlyle Group Inc.</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0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202-729-5626</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44"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Anne K. Frederick</w:t>
            </w:r>
          </w:p>
        </w:tc>
        <w:tc>
          <w:tcPr>
            <w:tcW w:w="218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Washington</w:t>
            </w:r>
            <w:r>
              <w:rPr>
                <w:rFonts w:ascii="Times;serif" w:hAnsi="Times;serif"/>
                <w:color w:val="0000FF"/>
                <w:sz w:val="24"/>
              </w:rPr>
              <w:t xml:space="preserve">,  </w:t>
            </w:r>
            <w:r>
              <w:rPr>
                <w:rFonts w:ascii="Times;serif" w:hAnsi="Times;serif"/>
                <w:color w:val="0000FF"/>
                <w:sz w:val="24"/>
                <w:shd w:fill="FFFFFF" w:val="clear"/>
              </w:rPr>
              <w:t>DC</w:t>
            </w:r>
            <w:r>
              <w:rPr>
                <w:rFonts w:ascii="Times;serif" w:hAnsi="Times;serif"/>
                <w:color w:val="0000FF"/>
                <w:sz w:val="24"/>
              </w:rPr>
              <w:t xml:space="preserve"> </w:t>
            </w:r>
          </w:p>
        </w:tc>
        <w:tc>
          <w:tcPr>
            <w:tcW w:w="127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08-07-2026</w:t>
            </w:r>
          </w:p>
        </w:tc>
      </w:tr>
      <w:tr>
        <w:trPr/>
        <w:tc>
          <w:tcPr>
            <w:tcW w:w="1644"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8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27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Explanatory Note 1: AlpInvest Partners B.V. is an indirectly wholly owned investment adviser of The Carlyle Group Inc. However, The Carlyle Group Inc. does not participate in any investment decision-making of AlpInvest Partners B.V. Explanatory Note 2: In August 2022, The Carlyle Group Inc. completed its acquisition of the Abingworth group, a life sciences investment firm. As a result of the acquisition, Abingworth LLP became a relying advisor of Carlyle Investment Management L.L.C.</w:t>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203"/>
        <w:gridCol w:w="510"/>
        <w:gridCol w:w="1021"/>
        <w:gridCol w:w="8471"/>
      </w:tblGrid>
      <w:tr>
        <w:trPr/>
        <w:tc>
          <w:tcPr>
            <w:tcW w:w="10205"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Managers Reporting for this Manager:</w:t>
              <w:br/>
              <w:t>[If there are no entries in this list, omit this section.]</w:t>
            </w:r>
          </w:p>
        </w:tc>
      </w:tr>
      <w:tr>
        <w:trPr/>
        <w:tc>
          <w:tcPr>
            <w:tcW w:w="2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84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028-15646</w:t>
            </w:r>
          </w:p>
        </w:tc>
        <w:tc>
          <w:tcPr>
            <w:tcW w:w="847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AlpInvest Partners B.V.</w:t>
            </w:r>
          </w:p>
        </w:tc>
      </w:tr>
    </w:tbl>
    <w:tbl>
      <w:tblPr>
        <w:tblW w:w="5000" w:type="pct"/>
        <w:jc w:val="left"/>
        <w:tblInd w:w="0" w:type="dxa"/>
        <w:tblLayout w:type="fixed"/>
        <w:tblCellMar>
          <w:top w:w="28" w:type="dxa"/>
          <w:left w:w="28" w:type="dxa"/>
          <w:bottom w:w="28" w:type="dxa"/>
          <w:right w:w="28" w:type="dxa"/>
        </w:tblCellMar>
      </w:tblPr>
      <w:tblGrid>
        <w:gridCol w:w="136"/>
        <w:gridCol w:w="7896"/>
        <w:gridCol w:w="1617"/>
        <w:gridCol w:w="225"/>
        <w:gridCol w:w="331"/>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6" w:type="dxa"/>
            <w:tcBorders/>
            <w:vAlign w:val="center"/>
          </w:tcPr>
          <w:p>
            <w:pPr>
              <w:pStyle w:val="TableContents"/>
              <w:bidi w:val="0"/>
              <w:spacing w:before="0" w:after="283"/>
              <w:jc w:val="left"/>
              <w:rPr>
                <w:sz w:val="4"/>
                <w:szCs w:val="4"/>
              </w:rPr>
            </w:pPr>
            <w:r>
              <w:rPr>
                <w:sz w:val="4"/>
                <w:szCs w:val="4"/>
              </w:rPr>
            </w:r>
          </w:p>
        </w:tc>
        <w:tc>
          <w:tcPr>
            <w:tcW w:w="10069"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w:t>
            </w:r>
          </w:p>
        </w:tc>
        <w:tc>
          <w:tcPr>
            <w:tcW w:w="2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19</w:t>
            </w:r>
          </w:p>
        </w:tc>
        <w:tc>
          <w:tcPr>
            <w:tcW w:w="556" w:type="dxa"/>
            <w:gridSpan w:val="2"/>
            <w:tcBorders/>
          </w:tcPr>
          <w:p>
            <w:pPr>
              <w:pStyle w:val="TableContents"/>
              <w:bidi w:val="0"/>
              <w:spacing w:before="0" w:after="283"/>
              <w:jc w:val="left"/>
              <w:rPr>
                <w:sz w:val="4"/>
                <w:szCs w:val="4"/>
              </w:rPr>
            </w:pPr>
            <w:r>
              <w:rPr>
                <w:sz w:val="4"/>
                <w:szCs w:val="4"/>
              </w:rPr>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10,000,861,951</w:t>
            </w:r>
          </w:p>
        </w:tc>
        <w:tc>
          <w:tcPr>
            <w:tcW w:w="556" w:type="dxa"/>
            <w:gridSpan w:val="2"/>
            <w:tcBorders/>
          </w:tcPr>
          <w:p>
            <w:pPr>
              <w:pStyle w:val="TableContents"/>
              <w:bidi w:val="0"/>
              <w:spacing w:before="0" w:after="283"/>
              <w:jc w:val="left"/>
              <w:rPr>
                <w:sz w:val="4"/>
                <w:szCs w:val="4"/>
              </w:rPr>
            </w:pPr>
            <w:r>
              <w:rPr>
                <w:sz w:val="4"/>
                <w:szCs w:val="4"/>
              </w:rPr>
            </w:r>
          </w:p>
        </w:tc>
      </w:tr>
      <w:tr>
        <w:trPr/>
        <w:tc>
          <w:tcPr>
            <w:tcW w:w="8032" w:type="dxa"/>
            <w:gridSpan w:val="2"/>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7"/>
        <w:gridCol w:w="895"/>
        <w:gridCol w:w="1790"/>
        <w:gridCol w:w="1791"/>
        <w:gridCol w:w="1790"/>
        <w:gridCol w:w="1791"/>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Abingworth LLP</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028-14285</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000163213</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802-75741</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0001397144</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Carlyle Investment Management LLC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028-12429</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000111128</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801-52462</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0001354120</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CIM Global, L.L.C.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028-15024</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000114795</w:t>
            </w:r>
          </w:p>
        </w:tc>
        <w:tc>
          <w:tcPr>
            <w:tcW w:w="1791"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0001555793</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form13fInfoTable.xml.htm"/>
      <w:bookmarkStart w:id="5" w:name="ksform13fInfoTable"/>
      <w:bookmarkStart w:id="6" w:name="form13fInfoTable.xml.htm"/>
      <w:bookmarkStart w:id="7" w:name="ksform13f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5110" w:type="dxa"/>
        <w:jc w:val="left"/>
        <w:tblInd w:w="0" w:type="dxa"/>
        <w:tblLayout w:type="fixed"/>
        <w:tblCellMar>
          <w:top w:w="60" w:type="dxa"/>
          <w:left w:w="60" w:type="dxa"/>
          <w:bottom w:w="60" w:type="dxa"/>
          <w:right w:w="60" w:type="dxa"/>
        </w:tblCellMar>
      </w:tblPr>
      <w:tblGrid>
        <w:gridCol w:w="1670"/>
        <w:gridCol w:w="1190"/>
        <w:gridCol w:w="1325"/>
        <w:gridCol w:w="590"/>
        <w:gridCol w:w="1520"/>
        <w:gridCol w:w="1340"/>
        <w:gridCol w:w="665"/>
        <w:gridCol w:w="755"/>
        <w:gridCol w:w="1715"/>
        <w:gridCol w:w="1370"/>
        <w:gridCol w:w="785"/>
        <w:gridCol w:w="1340"/>
        <w:gridCol w:w="845"/>
      </w:tblGrid>
      <w:tr>
        <w:trPr/>
        <w:tc>
          <w:tcPr>
            <w:tcW w:w="167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1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7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297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915" w:type="dxa"/>
            <w:gridSpan w:val="2"/>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297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6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78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Adicet Bio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007002207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1,592,308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184,295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Forward Air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34986A104</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1,448,461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107,214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Getty Images Holdings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374275105</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5,361,457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6,234,252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6,234,252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Invitation Homes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46187W107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20,026,209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662,900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Jasper Therapeutics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471871202</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448,866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1,066,189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Krispy Kreme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50101L106</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1,202,840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340,748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340,748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Medline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58507V107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7,378,581,641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187,083,713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187,083,713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N-able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62878D100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343,996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93,732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Nebius Group N.V.</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N97284108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509,810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Onkure Therapeutics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68277Q105</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1,230,721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269,895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Phathom Pharmaceuticals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71722W107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37,940,367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3,496,808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3,496,808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Pony Ai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732908108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16,419,007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2,362,447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2,362,447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Q32 Bio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746964105</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769,020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60,363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Ramaco Res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75134P600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287,667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Riley Exploration Permian In</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76665T102</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530,387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16,092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Robinhood Mkts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770700102</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474,625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Spruce Biosciences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85209E208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2,085,493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Standardaero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85423L103</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2,529,998,217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84,587,035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84,587,035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SunPower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20460L104</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1,610,859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2,343,750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2,343,750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883</Words>
  <Characters>4634</Characters>
  <CharactersWithSpaces>5244</CharactersWithSpaces>
  <Paragraphs>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