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7585.xml.htm"/>
      <w:bookmarkStart w:id="1" w:name="kswkform4_17858775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Heinzelman Kate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PENNSYLVANIA AVENUE,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Carlyle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11,031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11,031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are a restricted stock unit award and will vest 40% on February 1, 2028, an additional 30% on February 1, 2029 and the remaining 30% on February 1, 2030, subject to the reporting person's continued service at the Issuer on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Anne K. Frederick by power of attorney for Kate E. Heinzelman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3781" TargetMode="External"/><Relationship Id="rId5" Type="http://schemas.openxmlformats.org/officeDocument/2006/relationships/hyperlink" Target="http://www.sec.gov/cgi-bin/browse-edgar?action=getcompany&amp;CIK=00015271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3332</Characters>
  <CharactersWithSpaces>3882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