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20, 2023.</w:t>
      </w:r>
    </w:p>
    <w:p>
      <w:pPr>
        <w:spacing w:after="0" w:line="31"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7"/>
          <w:szCs w:val="17"/>
          <w:b w:val="1"/>
          <w:bCs w:val="1"/>
          <w:color w:val="auto"/>
        </w:rPr>
        <w:t>Registration Statement No. 333-</w:t>
      </w:r>
    </w:p>
    <w:p>
      <w:pPr>
        <w:spacing w:after="0" w:line="23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1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8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The Carlyle Group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00"/>
          </w:cols>
          <w:pgMar w:left="320" w:top="995" w:right="479" w:bottom="1440" w:gutter="0" w:footer="0" w:header="0"/>
        </w:sectPr>
      </w:pPr>
    </w:p>
    <w:p>
      <w:pPr>
        <w:spacing w:after="0" w:line="120"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45-2832612</w:t>
      </w:r>
    </w:p>
    <w:p>
      <w:pPr>
        <w:spacing w:after="0" w:line="24" w:lineRule="exact"/>
        <w:rPr>
          <w:sz w:val="24"/>
          <w:szCs w:val="24"/>
          <w:color w:val="auto"/>
        </w:rPr>
      </w:pPr>
    </w:p>
    <w:p>
      <w:pPr>
        <w:sectPr>
          <w:pgSz w:w="11900" w:h="16838" w:orient="portrait"/>
          <w:cols w:equalWidth="0" w:num="2">
            <w:col w:w="7420" w:space="720"/>
            <w:col w:w="2960"/>
          </w:cols>
          <w:pgMar w:left="320" w:top="995" w:right="47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100"/>
          </w:cols>
          <w:pgMar w:left="320" w:top="995" w:right="479" w:bottom="1440" w:gutter="0" w:footer="0" w:header="0"/>
          <w:type w:val="continuous"/>
        </w:sectPr>
      </w:pPr>
    </w:p>
    <w:p>
      <w:pPr>
        <w:spacing w:after="0" w:line="16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1001 Pennsylvania Avenue, NW</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20004-2505</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Telephone: (202) 729-5626</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100"/>
          </w:cols>
          <w:pgMar w:left="320" w:top="995" w:right="479" w:bottom="1440" w:gutter="0" w:footer="0" w:header="0"/>
          <w:type w:val="continuous"/>
        </w:sectPr>
      </w:pPr>
    </w:p>
    <w:p>
      <w:pPr>
        <w:spacing w:after="0" w:line="2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Carlyle Group Inc. Amended and Restated 2012 Equity Incentive Plan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Jeffrey W. Ferguson</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1001 Pennsylvania Avenue, NW</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20004-2505</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Telephone: (202) 729-5626</w:t>
      </w:r>
    </w:p>
    <w:p>
      <w:pPr>
        <w:spacing w:after="0" w:line="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(Name and address and telephone number, including area code, of agent for service)</w:t>
      </w:r>
    </w:p>
    <w:p>
      <w:pPr>
        <w:spacing w:after="0" w:line="9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Joshua Ford Bonnie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William R. Golden III</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Charles C. Mathes</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900 G Street, NW</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Telephone: (202) 636-5500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Facsimile: (202) 636-5502</w:t>
      </w:r>
    </w:p>
    <w:p>
      <w:pPr>
        <w:spacing w:after="0" w:line="99"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26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 w:lineRule="exact"/>
        <w:rPr>
          <w:sz w:val="24"/>
          <w:szCs w:val="24"/>
          <w:color w:val="auto"/>
        </w:rPr>
      </w:pPr>
    </w:p>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100"/>
          </w:cols>
          <w:pgMar w:left="320" w:top="995"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right="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on Form S-8 ("Registration Statement") is being filed for the purpose of registering an additional 5,300,000 shares of common stock, par value $0.01 per share ("Common Stock"), of The Carlyle Group Inc. (the “Company”) reserved for issuance under The Carlyle Group Inc. Amended and Restated 2012 Equity Incentive Plan (the "Plan"). These additional shares of Common Stock are additional securities of the same class as other securities for which an original registration statement (File No. </w:t>
      </w:r>
      <w:hyperlink r:id="rId8">
        <w:r>
          <w:rPr>
            <w:rFonts w:ascii="Times New Roman" w:cs="Times New Roman" w:eastAsia="Times New Roman" w:hAnsi="Times New Roman"/>
            <w:sz w:val="18"/>
            <w:szCs w:val="18"/>
            <w:u w:val="single" w:color="auto"/>
            <w:color w:val="0000FF"/>
          </w:rPr>
          <w:t>333-181109</w:t>
        </w:r>
      </w:hyperlink>
      <w:r>
        <w:rPr>
          <w:rFonts w:ascii="Times New Roman" w:cs="Times New Roman" w:eastAsia="Times New Roman" w:hAnsi="Times New Roman"/>
          <w:sz w:val="18"/>
          <w:szCs w:val="18"/>
          <w:color w:val="auto"/>
        </w:rPr>
        <w:t xml:space="preserve">) on Form S-8 was filed with the U.S. Securities and Exchange Commission (the “Commission”) on May 2, 2012 and additional registration statements (File Nos. </w:t>
      </w:r>
      <w:hyperlink r:id="rId9">
        <w:r>
          <w:rPr>
            <w:rFonts w:ascii="Times New Roman" w:cs="Times New Roman" w:eastAsia="Times New Roman" w:hAnsi="Times New Roman"/>
            <w:sz w:val="18"/>
            <w:szCs w:val="18"/>
            <w:u w:val="single" w:color="auto"/>
            <w:color w:val="0000FF"/>
          </w:rPr>
          <w:t>333-187264</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FF"/>
          </w:rPr>
          <w:t>333-194164</w:t>
        </w:r>
      </w:hyperlink>
      <w:r>
        <w:rPr>
          <w:rFonts w:ascii="Times New Roman" w:cs="Times New Roman" w:eastAsia="Times New Roman" w:hAnsi="Times New Roman"/>
          <w:sz w:val="18"/>
          <w:szCs w:val="18"/>
          <w:color w:val="auto"/>
        </w:rPr>
        <w:t xml:space="preserve">, </w:t>
      </w:r>
      <w:hyperlink r:id="rId11">
        <w:r>
          <w:rPr>
            <w:rFonts w:ascii="Times New Roman" w:cs="Times New Roman" w:eastAsia="Times New Roman" w:hAnsi="Times New Roman"/>
            <w:sz w:val="18"/>
            <w:szCs w:val="18"/>
            <w:u w:val="single" w:color="auto"/>
            <w:color w:val="0000FF"/>
          </w:rPr>
          <w:t>333-202315</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FF"/>
          </w:rPr>
          <w:t>333-209690</w:t>
        </w:r>
      </w:hyperlink>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000000"/>
        </w:rPr>
      </w:pPr>
      <w:hyperlink r:id="rId13">
        <w:r>
          <w:rPr>
            <w:rFonts w:ascii="Times New Roman" w:cs="Times New Roman" w:eastAsia="Times New Roman" w:hAnsi="Times New Roman"/>
            <w:sz w:val="18"/>
            <w:szCs w:val="18"/>
            <w:u w:val="single" w:color="auto"/>
            <w:color w:val="0000FF"/>
          </w:rPr>
          <w:t>333-216100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14">
        <w:r>
          <w:rPr>
            <w:rFonts w:ascii="Times New Roman" w:cs="Times New Roman" w:eastAsia="Times New Roman" w:hAnsi="Times New Roman"/>
            <w:sz w:val="18"/>
            <w:szCs w:val="18"/>
            <w:u w:val="single" w:color="auto"/>
            <w:color w:val="0000FF"/>
          </w:rPr>
          <w:t>333-223051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15">
        <w:r>
          <w:rPr>
            <w:rFonts w:ascii="Times New Roman" w:cs="Times New Roman" w:eastAsia="Times New Roman" w:hAnsi="Times New Roman"/>
            <w:sz w:val="18"/>
            <w:szCs w:val="18"/>
            <w:u w:val="single" w:color="auto"/>
            <w:color w:val="0000FF"/>
          </w:rPr>
          <w:t>333-229663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were filed with the Commission on March 14, 2013, February 27, 2014, February 26, 2015, February 24, 2016,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February 16, 2017, February 15, 2018, and February 13, 2019, respectively (the "Original Registration Statements"). On January 2, 2020, in connection with the conversion of The Carlyle Group L.P. from a Delaware limited partnership to a Delaware corporation, The Carlyle Group Inc., the Company filed </w:t>
      </w:r>
      <w:hyperlink r:id="rId16">
        <w:r>
          <w:rPr>
            <w:rFonts w:ascii="Times New Roman" w:cs="Times New Roman" w:eastAsia="Times New Roman" w:hAnsi="Times New Roman"/>
            <w:sz w:val="18"/>
            <w:szCs w:val="18"/>
            <w:u w:val="single" w:color="auto"/>
            <w:color w:val="0000FF"/>
          </w:rPr>
          <w:t>Post-Effective Amendment No. 1</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each of the Original Registration Statements to reflect the adoption by the Company of the Original Registration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Statements as its own registration statements for all purposes of the Securities Act of 1933, as amended (the "Securities Act"), and the Securities Exchange Act of 1934, as amended (the "Exchange Act"). Additional registration statements (File Nos. </w:t>
      </w:r>
      <w:hyperlink r:id="rId17">
        <w:r>
          <w:rPr>
            <w:rFonts w:ascii="Times New Roman" w:cs="Times New Roman" w:eastAsia="Times New Roman" w:hAnsi="Times New Roman"/>
            <w:sz w:val="18"/>
            <w:szCs w:val="18"/>
            <w:u w:val="single" w:color="auto"/>
            <w:color w:val="0000FF"/>
          </w:rPr>
          <w:t>333-236394</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18">
        <w:r>
          <w:rPr>
            <w:rFonts w:ascii="Times New Roman" w:cs="Times New Roman" w:eastAsia="Times New Roman" w:hAnsi="Times New Roman"/>
            <w:sz w:val="18"/>
            <w:szCs w:val="18"/>
            <w:u w:val="single" w:color="auto"/>
            <w:color w:val="0000FF"/>
          </w:rPr>
          <w:t>333-252992</w:t>
        </w:r>
      </w:hyperlink>
      <w:r>
        <w:rPr>
          <w:rFonts w:ascii="Times New Roman" w:cs="Times New Roman" w:eastAsia="Times New Roman" w:hAnsi="Times New Roman"/>
          <w:sz w:val="18"/>
          <w:szCs w:val="18"/>
          <w:color w:val="000000"/>
        </w:rPr>
        <w:t>) were filed with the Commission on February 12, 2020 and February 11, 2021, respectively. These additional shares of Common Stock were reserved for issuance in connection with the amendment and restatement of the Plan, which was approved by shareholders on June 1, 2021 at the Company's 2021 Annual Meeting of Shareholders.</w:t>
      </w:r>
    </w:p>
    <w:p>
      <w:pPr>
        <w:spacing w:after="0" w:line="194" w:lineRule="exact"/>
        <w:rPr>
          <w:rFonts w:ascii="Times New Roman" w:cs="Times New Roman" w:eastAsia="Times New Roman" w:hAnsi="Times New Roman"/>
          <w:sz w:val="18"/>
          <w:szCs w:val="18"/>
          <w:color w:val="0000FF"/>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General Instruction E to Form S-8, the contents of such earlier registration statements, as amended by the post-effective amendments, are incorporated by reference into this Registration Statement, except that the provisions contained in Part II of such earlier registration statements are modified as set forth below.</w:t>
      </w:r>
    </w:p>
    <w:p>
      <w:pPr>
        <w:spacing w:after="0" w:line="172"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rFonts w:ascii="Times New Roman" w:cs="Times New Roman" w:eastAsia="Times New Roman" w:hAnsi="Times New Roman"/>
          <w:sz w:val="18"/>
          <w:szCs w:val="18"/>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rFonts w:ascii="Times New Roman" w:cs="Times New Roman" w:eastAsia="Times New Roman" w:hAnsi="Times New Roman"/>
          <w:sz w:val="18"/>
          <w:szCs w:val="18"/>
          <w:color w:val="0000FF"/>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the Commission by the Company pursuant to the Securities Act or the Exchange Act are hereby incorporated by reference in this Registration Statement:</w:t>
      </w:r>
    </w:p>
    <w:p>
      <w:pPr>
        <w:spacing w:after="0" w:line="162" w:lineRule="exact"/>
        <w:rPr>
          <w:rFonts w:ascii="Times New Roman" w:cs="Times New Roman" w:eastAsia="Times New Roman" w:hAnsi="Times New Roman"/>
          <w:sz w:val="18"/>
          <w:szCs w:val="18"/>
          <w:color w:val="0000FF"/>
        </w:rPr>
      </w:pPr>
    </w:p>
    <w:p>
      <w:pPr>
        <w:ind w:left="1060" w:right="60" w:hanging="323"/>
        <w:spacing w:after="0" w:line="282" w:lineRule="auto"/>
        <w:tabs>
          <w:tab w:leader="none" w:pos="1179" w:val="left"/>
        </w:tabs>
        <w:numPr>
          <w:ilvl w:val="0"/>
          <w:numId w:val="1"/>
        </w:numPr>
        <w:rPr>
          <w:rFonts w:ascii="Times New Roman" w:cs="Times New Roman" w:eastAsia="Times New Roman" w:hAnsi="Times New Roman"/>
          <w:sz w:val="18"/>
          <w:szCs w:val="18"/>
          <w:color w:val="000000"/>
        </w:rPr>
      </w:pPr>
      <w:hyperlink r:id="rId19">
        <w:r>
          <w:rPr>
            <w:rFonts w:ascii="Times New Roman" w:cs="Times New Roman" w:eastAsia="Times New Roman" w:hAnsi="Times New Roman"/>
            <w:sz w:val="18"/>
            <w:szCs w:val="18"/>
            <w:u w:val="single" w:color="auto"/>
            <w:color w:val="0000FF"/>
          </w:rPr>
          <w:t>The Company's Annual Report on Form 10-K for the fiscal year ended December 31,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on February 10, 2022 (the "Form 10-K"),</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as amended by </w:t>
      </w:r>
      <w:hyperlink r:id="rId20">
        <w:r>
          <w:rPr>
            <w:rFonts w:ascii="Times New Roman" w:cs="Times New Roman" w:eastAsia="Times New Roman" w:hAnsi="Times New Roman"/>
            <w:sz w:val="18"/>
            <w:szCs w:val="18"/>
            <w:u w:val="single" w:color="auto"/>
            <w:color w:val="0000FF"/>
          </w:rPr>
          <w:t>Amendment No. 1 to the Form 10-K</w:t>
        </w:r>
      </w:hyperlink>
      <w:r>
        <w:rPr>
          <w:rFonts w:ascii="Times New Roman" w:cs="Times New Roman" w:eastAsia="Times New Roman" w:hAnsi="Times New Roman"/>
          <w:sz w:val="18"/>
          <w:szCs w:val="18"/>
          <w:color w:val="000000"/>
        </w:rPr>
        <w:t>, filed on March 2, 2022;</w:t>
      </w:r>
    </w:p>
    <w:p>
      <w:pPr>
        <w:spacing w:after="0" w:line="161" w:lineRule="exact"/>
        <w:rPr>
          <w:rFonts w:ascii="Times New Roman" w:cs="Times New Roman" w:eastAsia="Times New Roman" w:hAnsi="Times New Roman"/>
          <w:sz w:val="18"/>
          <w:szCs w:val="18"/>
          <w:color w:val="000000"/>
        </w:rPr>
      </w:pPr>
    </w:p>
    <w:p>
      <w:pPr>
        <w:ind w:left="1060" w:right="120" w:hanging="323"/>
        <w:spacing w:after="0" w:line="282" w:lineRule="auto"/>
        <w:tabs>
          <w:tab w:leader="none" w:pos="10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fiscal quarters ended </w:t>
      </w:r>
      <w:hyperlink r:id="rId21">
        <w:r>
          <w:rPr>
            <w:rFonts w:ascii="Times New Roman" w:cs="Times New Roman" w:eastAsia="Times New Roman" w:hAnsi="Times New Roman"/>
            <w:sz w:val="18"/>
            <w:szCs w:val="18"/>
            <w:u w:val="single" w:color="auto"/>
            <w:color w:val="0000FF"/>
          </w:rPr>
          <w:t>March 31, 2022</w:t>
        </w:r>
      </w:hyperlink>
      <w:r>
        <w:rPr>
          <w:rFonts w:ascii="Times New Roman" w:cs="Times New Roman" w:eastAsia="Times New Roman" w:hAnsi="Times New Roman"/>
          <w:sz w:val="18"/>
          <w:szCs w:val="18"/>
          <w:color w:val="auto"/>
        </w:rPr>
        <w:t xml:space="preserve">, filed on April 28, 2022; </w:t>
      </w:r>
      <w:hyperlink r:id="rId22">
        <w:r>
          <w:rPr>
            <w:rFonts w:ascii="Times New Roman" w:cs="Times New Roman" w:eastAsia="Times New Roman" w:hAnsi="Times New Roman"/>
            <w:sz w:val="18"/>
            <w:szCs w:val="18"/>
            <w:u w:val="single" w:color="auto"/>
            <w:color w:val="0000FF"/>
          </w:rPr>
          <w:t>June 30, 2022</w:t>
        </w:r>
      </w:hyperlink>
      <w:r>
        <w:rPr>
          <w:rFonts w:ascii="Times New Roman" w:cs="Times New Roman" w:eastAsia="Times New Roman" w:hAnsi="Times New Roman"/>
          <w:sz w:val="18"/>
          <w:szCs w:val="18"/>
          <w:color w:val="auto"/>
        </w:rPr>
        <w:t xml:space="preserve">, filed on July 28, 2022; and </w:t>
      </w:r>
      <w:hyperlink r:id="rId23">
        <w:r>
          <w:rPr>
            <w:rFonts w:ascii="Times New Roman" w:cs="Times New Roman" w:eastAsia="Times New Roman" w:hAnsi="Times New Roman"/>
            <w:sz w:val="18"/>
            <w:szCs w:val="18"/>
            <w:u w:val="single" w:color="auto"/>
            <w:color w:val="0000FF"/>
          </w:rPr>
          <w:t>September 30, 2022</w:t>
        </w:r>
      </w:hyperlink>
      <w:r>
        <w:rPr>
          <w:rFonts w:ascii="Times New Roman" w:cs="Times New Roman" w:eastAsia="Times New Roman" w:hAnsi="Times New Roman"/>
          <w:sz w:val="18"/>
          <w:szCs w:val="18"/>
          <w:color w:val="auto"/>
        </w:rPr>
        <w:t>, filed on November 8, 2022;</w:t>
      </w:r>
    </w:p>
    <w:p>
      <w:pPr>
        <w:spacing w:after="0" w:line="161" w:lineRule="exact"/>
        <w:rPr>
          <w:rFonts w:ascii="Times New Roman" w:cs="Times New Roman" w:eastAsia="Times New Roman" w:hAnsi="Times New Roman"/>
          <w:sz w:val="18"/>
          <w:szCs w:val="18"/>
          <w:color w:val="auto"/>
        </w:rPr>
      </w:pPr>
    </w:p>
    <w:p>
      <w:pPr>
        <w:ind w:left="1060" w:right="340" w:hanging="323"/>
        <w:spacing w:after="0" w:line="282" w:lineRule="auto"/>
        <w:tabs>
          <w:tab w:leader="none" w:pos="1057"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Company’s Current Reports on Form 8-K filed on </w:t>
      </w:r>
      <w:hyperlink r:id="rId24">
        <w:r>
          <w:rPr>
            <w:rFonts w:ascii="Times New Roman" w:cs="Times New Roman" w:eastAsia="Times New Roman" w:hAnsi="Times New Roman"/>
            <w:sz w:val="18"/>
            <w:szCs w:val="18"/>
            <w:u w:val="single" w:color="auto"/>
            <w:color w:val="0000FF"/>
          </w:rPr>
          <w:t>February 16,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amended by the Amendment No. 1 filed on </w:t>
      </w:r>
      <w:hyperlink r:id="rId25">
        <w:r>
          <w:rPr>
            <w:rFonts w:ascii="Times New Roman" w:cs="Times New Roman" w:eastAsia="Times New Roman" w:hAnsi="Times New Roman"/>
            <w:sz w:val="18"/>
            <w:szCs w:val="18"/>
            <w:u w:val="single" w:color="auto"/>
            <w:color w:val="0000FF"/>
          </w:rPr>
          <w:t>April 8, 2022</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FF"/>
          </w:rPr>
          <w:t>March 11,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27">
        <w:r>
          <w:rPr>
            <w:rFonts w:ascii="Times New Roman" w:cs="Times New Roman" w:eastAsia="Times New Roman" w:hAnsi="Times New Roman"/>
            <w:sz w:val="18"/>
            <w:szCs w:val="18"/>
            <w:u w:val="single" w:color="auto"/>
            <w:color w:val="0000FF"/>
          </w:rPr>
          <w:t>March 21,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28">
        <w:r>
          <w:rPr>
            <w:rFonts w:ascii="Times New Roman" w:cs="Times New Roman" w:eastAsia="Times New Roman" w:hAnsi="Times New Roman"/>
            <w:sz w:val="18"/>
            <w:szCs w:val="18"/>
            <w:u w:val="single" w:color="auto"/>
            <w:color w:val="0000FF"/>
          </w:rPr>
          <w:t>May 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29">
        <w:r>
          <w:rPr>
            <w:rFonts w:ascii="Times New Roman" w:cs="Times New Roman" w:eastAsia="Times New Roman" w:hAnsi="Times New Roman"/>
            <w:sz w:val="18"/>
            <w:szCs w:val="18"/>
            <w:u w:val="single" w:color="auto"/>
            <w:color w:val="0000FF"/>
          </w:rPr>
          <w:t>June 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0">
        <w:r>
          <w:rPr>
            <w:rFonts w:ascii="Times New Roman" w:cs="Times New Roman" w:eastAsia="Times New Roman" w:hAnsi="Times New Roman"/>
            <w:sz w:val="18"/>
            <w:szCs w:val="18"/>
            <w:u w:val="single" w:color="auto"/>
            <w:color w:val="0000FF"/>
          </w:rPr>
          <w:t>July 7,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1">
        <w:r>
          <w:rPr>
            <w:rFonts w:ascii="Times New Roman" w:cs="Times New Roman" w:eastAsia="Times New Roman" w:hAnsi="Times New Roman"/>
            <w:sz w:val="18"/>
            <w:szCs w:val="18"/>
            <w:u w:val="single" w:color="auto"/>
            <w:color w:val="0000FF"/>
          </w:rPr>
          <w:t>August 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32">
        <w:r>
          <w:rPr>
            <w:rFonts w:ascii="Times New Roman" w:cs="Times New Roman" w:eastAsia="Times New Roman" w:hAnsi="Times New Roman"/>
            <w:sz w:val="18"/>
            <w:szCs w:val="18"/>
            <w:u w:val="single" w:color="auto"/>
            <w:color w:val="0000FF"/>
          </w:rPr>
          <w:t>August 8,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FF"/>
        </w:rPr>
      </w:pPr>
    </w:p>
    <w:p>
      <w:pPr>
        <w:ind w:left="1060" w:right="260" w:hanging="323"/>
        <w:spacing w:after="0" w:line="266" w:lineRule="auto"/>
        <w:tabs>
          <w:tab w:leader="none" w:pos="1054" w:val="left"/>
        </w:tabs>
        <w:numPr>
          <w:ilvl w:val="0"/>
          <w:numId w:val="1"/>
        </w:numPr>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auto"/>
          </w:rPr>
          <w:t xml:space="preserve">The description of the Company's securities contained in </w:t>
        </w:r>
        <w:r>
          <w:rPr>
            <w:rFonts w:ascii="Times New Roman" w:cs="Times New Roman" w:eastAsia="Times New Roman" w:hAnsi="Times New Roman"/>
            <w:sz w:val="18"/>
            <w:szCs w:val="18"/>
            <w:u w:val="single" w:color="auto"/>
            <w:color w:val="0000FF"/>
          </w:rPr>
          <w:t>Exhibit 4.14 of the Amendment No. 1 to the Company's Annual Report on Form</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FF"/>
          </w:rPr>
          <w:t>10-K for the fiscal year ended December 31, 2021, filed on March 2, 2022</w:t>
        </w:r>
        <w:r>
          <w:rPr>
            <w:rFonts w:ascii="Times New Roman" w:cs="Times New Roman" w:eastAsia="Times New Roman" w:hAnsi="Times New Roman"/>
            <w:sz w:val="18"/>
            <w:szCs w:val="18"/>
            <w:color w:val="000000"/>
          </w:rPr>
          <w:t>, including any amendment or report filed for the purpose of</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updating such description.</w:t>
      </w:r>
    </w:p>
    <w:p>
      <w:pPr>
        <w:spacing w:after="0" w:line="176" w:lineRule="exact"/>
        <w:rPr>
          <w:rFonts w:ascii="Times New Roman" w:cs="Times New Roman" w:eastAsia="Times New Roman" w:hAnsi="Times New Roman"/>
          <w:sz w:val="18"/>
          <w:szCs w:val="18"/>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All documents that the Company subsequently files pursuant to Sections 13(a), 13(c), 14 and 15(d) of the Exchange Act after the date of this Registration Statement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 (other than information furnished pursuant to Item 2.02 or Item 7.01 of any Current Report on Form 8-K, unless expressly stated otherwise therein).</w:t>
      </w:r>
    </w:p>
    <w:p>
      <w:pPr>
        <w:spacing w:after="0" w:line="183" w:lineRule="exact"/>
        <w:rPr>
          <w:rFonts w:ascii="Times New Roman" w:cs="Times New Roman" w:eastAsia="Times New Roman" w:hAnsi="Times New Roman"/>
          <w:sz w:val="18"/>
          <w:szCs w:val="18"/>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validity of the Common Stock will be passed upon for us by Simpson Thacher &amp; Bartlett LLP, Washington, D.C. An investment vehicle comprised of selected partners of Simpson Thacher &amp; Bartlett LLP, members of their families, related persons and others owns an interest representing less than 1% of the capital commitments of funds affiliated with the Company.</w:t>
      </w:r>
    </w:p>
    <w:p>
      <w:pPr>
        <w:sectPr>
          <w:pgSz w:w="11900" w:h="16838" w:orient="portrait"/>
          <w:cols w:equalWidth="0" w:num="1">
            <w:col w:w="11120"/>
          </w:cols>
          <w:pgMar w:left="320" w:top="88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incorporated by reference as part of this Registration Statement:</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gridSpan w:val="7"/>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02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4"/>
                <w:szCs w:val="24"/>
                <w:color w:val="auto"/>
              </w:rPr>
            </w:pPr>
          </w:p>
        </w:tc>
        <w:tc>
          <w:tcPr>
            <w:tcW w:w="9600" w:type="dxa"/>
            <w:vAlign w:val="bottom"/>
            <w:gridSpan w:val="13"/>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Certificate of Incorporation of The Carlyle Group Inc. (incorporated by reference to Exhibit 3.2 of The Carlyle Group Inc.'s Current</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Report on Form 8-K filed on January 2, 2020).</w:t>
              </w:r>
            </w:hyperlink>
          </w:p>
        </w:tc>
        <w:tc>
          <w:tcPr>
            <w:tcW w:w="6120" w:type="dxa"/>
            <w:vAlign w:val="bottom"/>
            <w:tcBorders>
              <w:top w:val="single" w:sz="8" w:color="0000FF"/>
            </w:tcBorders>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24"/>
                <w:szCs w:val="24"/>
                <w:color w:val="auto"/>
              </w:rPr>
            </w:pPr>
          </w:p>
        </w:tc>
        <w:tc>
          <w:tcPr>
            <w:tcW w:w="9600" w:type="dxa"/>
            <w:vAlign w:val="bottom"/>
            <w:gridSpan w:val="13"/>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Bylaws of The Carlyle Group Inc. (incorporated by reference to Exhibit 3.3 of The Carlyle Group Inc.'s Current Report on Form 8-K</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filed on January 2, 2020).</w:t>
              </w:r>
            </w:hyperlink>
          </w:p>
        </w:tc>
        <w:tc>
          <w:tcPr>
            <w:tcW w:w="77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4"/>
                <w:szCs w:val="24"/>
                <w:color w:val="auto"/>
              </w:rPr>
            </w:pPr>
          </w:p>
        </w:tc>
        <w:tc>
          <w:tcPr>
            <w:tcW w:w="9600" w:type="dxa"/>
            <w:vAlign w:val="bottom"/>
            <w:gridSpan w:val="13"/>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The Carlyle Group Inc. Amended and Restated 2012 Equity Incentive Plan (incorporated by reference to Exhibit 10.1 to The Carlyle</w:t>
              </w:r>
            </w:hyperlink>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5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Group Inc. Current Report on Form 8-K filed on June 1, 2021).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Pr>
          <w:p>
            <w:pPr>
              <w:spacing w:after="0"/>
              <w:rPr>
                <w:sz w:val="24"/>
                <w:szCs w:val="24"/>
                <w:color w:val="auto"/>
              </w:rPr>
            </w:pPr>
          </w:p>
        </w:tc>
        <w:tc>
          <w:tcPr>
            <w:tcW w:w="45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Opinion of Simpson Thacher &amp; Bartlett LLP.</w:t>
            </w:r>
          </w:p>
        </w:tc>
        <w:tc>
          <w:tcPr>
            <w:tcW w:w="50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tcPr>
          <w:p>
            <w:pPr>
              <w:spacing w:after="0"/>
              <w:rPr>
                <w:sz w:val="24"/>
                <w:szCs w:val="24"/>
                <w:color w:val="auto"/>
              </w:rPr>
            </w:pPr>
          </w:p>
        </w:tc>
        <w:tc>
          <w:tcPr>
            <w:tcW w:w="32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c>
          <w:tcPr>
            <w:tcW w:w="6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380" w:type="dxa"/>
            <w:vAlign w:val="bottom"/>
          </w:tcPr>
          <w:p>
            <w:pPr>
              <w:spacing w:after="0"/>
              <w:rPr>
                <w:sz w:val="24"/>
                <w:szCs w:val="24"/>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Pricewaterhouse Coopers LLP.</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23.3*</w:t>
            </w:r>
          </w:p>
        </w:tc>
        <w:tc>
          <w:tcPr>
            <w:tcW w:w="380" w:type="dxa"/>
            <w:vAlign w:val="bottom"/>
          </w:tcPr>
          <w:p>
            <w:pPr>
              <w:spacing w:after="0"/>
              <w:rPr>
                <w:sz w:val="24"/>
                <w:szCs w:val="24"/>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Consent of Simpson Thacher &amp; Bartlett LLP (included as part of Exhibit 5.1).</w:t>
            </w:r>
          </w:p>
        </w:tc>
        <w:tc>
          <w:tcPr>
            <w:tcW w:w="0" w:type="dxa"/>
            <w:vAlign w:val="bottom"/>
          </w:tcPr>
          <w:p>
            <w:pPr>
              <w:spacing w:after="0"/>
              <w:rPr>
                <w:sz w:val="1"/>
                <w:szCs w:val="1"/>
                <w:color w:val="auto"/>
              </w:rPr>
            </w:pPr>
          </w:p>
        </w:tc>
      </w:tr>
      <w:tr>
        <w:trPr>
          <w:trHeight w:val="45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80" w:type="dxa"/>
            <w:vAlign w:val="bottom"/>
          </w:tcPr>
          <w:p>
            <w:pPr>
              <w:spacing w:after="0"/>
              <w:rPr>
                <w:sz w:val="24"/>
                <w:szCs w:val="24"/>
                <w:color w:val="auto"/>
              </w:rPr>
            </w:pPr>
          </w:p>
        </w:tc>
        <w:tc>
          <w:tcPr>
            <w:tcW w:w="96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Power of Attorney (included in the signature pages to this Registration Statement).</w:t>
            </w:r>
          </w:p>
        </w:tc>
        <w:tc>
          <w:tcPr>
            <w:tcW w:w="0" w:type="dxa"/>
            <w:vAlign w:val="bottom"/>
          </w:tcPr>
          <w:p>
            <w:pPr>
              <w:spacing w:after="0"/>
              <w:rPr>
                <w:sz w:val="1"/>
                <w:szCs w:val="1"/>
                <w:color w:val="auto"/>
              </w:rPr>
            </w:pPr>
          </w:p>
        </w:tc>
      </w:tr>
      <w:tr>
        <w:trPr>
          <w:trHeight w:val="243"/>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107.1*</w:t>
            </w:r>
          </w:p>
        </w:tc>
        <w:tc>
          <w:tcPr>
            <w:tcW w:w="380" w:type="dxa"/>
            <w:vAlign w:val="bottom"/>
          </w:tcPr>
          <w:p>
            <w:pPr>
              <w:spacing w:after="0"/>
              <w:rPr>
                <w:sz w:val="21"/>
                <w:szCs w:val="21"/>
                <w:color w:val="auto"/>
              </w:rPr>
            </w:pPr>
          </w:p>
        </w:tc>
        <w:tc>
          <w:tcPr>
            <w:tcW w:w="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Filing Fees.</w:t>
            </w:r>
          </w:p>
        </w:tc>
        <w:tc>
          <w:tcPr>
            <w:tcW w:w="874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800"/>
          </w:cols>
          <w:pgMar w:left="320" w:top="887" w:right="7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Washington, D.C., on January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The Carlyle Group Inc.</w:t>
      </w:r>
    </w:p>
    <w:p>
      <w:pPr>
        <w:spacing w:after="0" w:line="200" w:lineRule="exact"/>
        <w:rPr>
          <w:sz w:val="20"/>
          <w:szCs w:val="20"/>
          <w:color w:val="auto"/>
        </w:rPr>
      </w:pPr>
    </w:p>
    <w:p>
      <w:pPr>
        <w:spacing w:after="0" w:line="286"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Curtis L. Buser</w:t>
            </w:r>
          </w:p>
        </w:tc>
      </w:tr>
      <w:tr>
        <w:trPr>
          <w:trHeight w:val="218"/>
        </w:trPr>
        <w:tc>
          <w:tcPr>
            <w:tcW w:w="70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Curtis L. Buser</w:t>
            </w:r>
          </w:p>
        </w:tc>
      </w:tr>
      <w:tr>
        <w:trPr>
          <w:trHeight w:val="234"/>
        </w:trPr>
        <w:tc>
          <w:tcPr>
            <w:tcW w:w="70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directors and officers of the Registrant, which is filing a Registration Statement on Form S-8 with the U.S. Securities and Exchange Commission, Washington, D.C. 20549 under the provisions of the Securities Act of 1933, hereby constitute and appoint William E. Conway, Jr., Curtis L. Buser and Jeffrey W. Ferguson, and each of them, any of whom may act without joinder of the other, the individual’s true and lawful attorneys-in-fact and agents, with full power of substitution and resubstitution, for the person and in his or her name, place and stead, in any and all capacities, to sign this Registration Statement and any or all amendments or supplements to this Registration Statement, including post-effective amendments, and to file the same, with all exhibits thereto, and other documents in connection therewith with the U.S. Securities and Exchange Commission, and does hereby grant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9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the 20th day of January, 2023.</w:t>
      </w:r>
    </w:p>
    <w:p>
      <w:pPr>
        <w:sectPr>
          <w:pgSz w:w="11900" w:h="16838" w:orient="portrait"/>
          <w:cols w:equalWidth="0" w:num="1">
            <w:col w:w="11220"/>
          </w:cols>
          <w:pgMar w:left="320" w:top="887" w:right="359" w:bottom="1440" w:gutter="0" w:footer="0" w:header="0"/>
        </w:sectPr>
      </w:pPr>
    </w:p>
    <w:p>
      <w:pPr>
        <w:spacing w:after="0" w:line="19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5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/s/ William E. Conway,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457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William E. Conway, Jr.</w:t>
      </w:r>
    </w:p>
    <w:p>
      <w:pPr>
        <w:spacing w:after="0" w:line="25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 Curtis L. Buser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Curtis L. Buser</w:t>
      </w:r>
    </w:p>
    <w:p>
      <w:pPr>
        <w:spacing w:after="0" w:line="27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 Daniel A. D’Aniello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Daniel A. D’Aniello</w:t>
      </w:r>
    </w:p>
    <w:p>
      <w:pPr>
        <w:spacing w:after="0" w:line="27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 David M.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David M. Rubenstein</w:t>
      </w:r>
    </w:p>
    <w:p>
      <w:pPr>
        <w:spacing w:after="0" w:line="200" w:lineRule="exact"/>
        <w:rPr>
          <w:sz w:val="20"/>
          <w:szCs w:val="20"/>
          <w:color w:val="auto"/>
        </w:rPr>
      </w:pPr>
    </w:p>
    <w:p>
      <w:pPr>
        <w:spacing w:after="0" w:line="24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 Peter J. Clare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Peter J. Clare</w:t>
      </w:r>
    </w:p>
    <w:p>
      <w:pPr>
        <w:spacing w:after="0" w:line="27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 Linda H. Filler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Linda H. Filler</w:t>
      </w:r>
    </w:p>
    <w:p>
      <w:pPr>
        <w:spacing w:after="0" w:line="25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 Lawton W. Fitt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Lawton W. Fitt</w:t>
      </w:r>
    </w:p>
    <w:p>
      <w:pPr>
        <w:spacing w:after="0" w:line="25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 James H. Hance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James H. Hance Jr.</w:t>
      </w:r>
    </w:p>
    <w:p>
      <w:pPr>
        <w:spacing w:after="0" w:line="25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/s/ Mark S. 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Mark S. Ordan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u w:val="single" w:color="auto"/>
          <w:color w:val="auto"/>
        </w:rPr>
        <w:t>Title</w:t>
      </w:r>
    </w:p>
    <w:p>
      <w:pPr>
        <w:spacing w:after="0" w:line="256"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8"/>
          <w:szCs w:val="18"/>
          <w:color w:val="auto"/>
        </w:rPr>
        <w:t>Co-Founder, Interim Chief Executive Officer, and Co-Chairman (Principal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Co-Founder, Chairman Emeritus, and Director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Co-Founder, Co-Chairman, and Director</w:t>
      </w:r>
    </w:p>
    <w:p>
      <w:pPr>
        <w:spacing w:after="0" w:line="200" w:lineRule="exact"/>
        <w:rPr>
          <w:sz w:val="20"/>
          <w:szCs w:val="20"/>
          <w:color w:val="auto"/>
        </w:rPr>
      </w:pPr>
    </w:p>
    <w:p>
      <w:pPr>
        <w:spacing w:after="0" w:line="295"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Chief Investment Officer for Corporate Private Equity, Chairman of Americas Private Equity, and 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5520" w:space="720"/>
            <w:col w:w="4980"/>
          </w:cols>
          <w:pgMar w:left="320" w:top="887" w:right="3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Derica W. Rice</w:t>
            </w:r>
          </w:p>
        </w:tc>
        <w:tc>
          <w:tcPr>
            <w:tcW w:w="3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Derica W. Rice</w:t>
            </w:r>
          </w:p>
        </w:tc>
        <w:tc>
          <w:tcPr>
            <w:tcW w:w="3500" w:type="dxa"/>
            <w:vAlign w:val="bottom"/>
          </w:tcPr>
          <w:p>
            <w:pPr>
              <w:spacing w:after="0"/>
              <w:rPr>
                <w:sz w:val="19"/>
                <w:szCs w:val="19"/>
                <w:color w:val="auto"/>
              </w:rPr>
            </w:pPr>
          </w:p>
        </w:tc>
      </w:tr>
      <w:tr>
        <w:trPr>
          <w:trHeight w:val="454"/>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Thomas S. Robertson</w:t>
            </w:r>
          </w:p>
        </w:tc>
        <w:tc>
          <w:tcPr>
            <w:tcW w:w="3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Thomas S. Robertson</w:t>
            </w:r>
          </w:p>
        </w:tc>
        <w:tc>
          <w:tcPr>
            <w:tcW w:w="3500" w:type="dxa"/>
            <w:vAlign w:val="bottom"/>
          </w:tcPr>
          <w:p>
            <w:pPr>
              <w:spacing w:after="0"/>
              <w:rPr>
                <w:sz w:val="19"/>
                <w:szCs w:val="19"/>
                <w:color w:val="auto"/>
              </w:rPr>
            </w:pPr>
          </w:p>
        </w:tc>
      </w:tr>
      <w:tr>
        <w:trPr>
          <w:trHeight w:val="454"/>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J. Shaw</w:t>
            </w:r>
          </w:p>
        </w:tc>
        <w:tc>
          <w:tcPr>
            <w:tcW w:w="3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J. Shaw</w:t>
            </w:r>
          </w:p>
        </w:tc>
        <w:tc>
          <w:tcPr>
            <w:tcW w:w="3500" w:type="dxa"/>
            <w:vAlign w:val="bottom"/>
          </w:tcPr>
          <w:p>
            <w:pPr>
              <w:spacing w:after="0"/>
              <w:rPr>
                <w:sz w:val="19"/>
                <w:szCs w:val="19"/>
                <w:color w:val="auto"/>
              </w:rPr>
            </w:pPr>
          </w:p>
        </w:tc>
      </w:tr>
      <w:tr>
        <w:trPr>
          <w:trHeight w:val="454"/>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Anthony Welters</w:t>
            </w:r>
          </w:p>
        </w:tc>
        <w:tc>
          <w:tcPr>
            <w:tcW w:w="3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Anthony Welters</w:t>
            </w:r>
          </w:p>
        </w:tc>
        <w:tc>
          <w:tcPr>
            <w:tcW w:w="3500" w:type="dxa"/>
            <w:vAlign w:val="bottom"/>
          </w:tcPr>
          <w:p>
            <w:pPr>
              <w:spacing w:after="0"/>
              <w:rPr>
                <w:sz w:val="19"/>
                <w:szCs w:val="19"/>
                <w:color w:val="auto"/>
              </w:rPr>
            </w:pPr>
          </w:p>
        </w:tc>
      </w:tr>
      <w:tr>
        <w:trPr>
          <w:trHeight w:val="481"/>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Charles E. Andrews, Jr.</w:t>
            </w:r>
          </w:p>
        </w:tc>
        <w:tc>
          <w:tcPr>
            <w:tcW w:w="3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Charles E. Andrews, Jr.</w:t>
            </w:r>
          </w:p>
        </w:tc>
        <w:tc>
          <w:tcPr>
            <w:tcW w:w="350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bl>
    <w:p>
      <w:pPr>
        <w:sectPr>
          <w:pgSz w:w="11900" w:h="16838" w:orient="portrait"/>
          <w:cols w:equalWidth="0" w:num="1">
            <w:col w:w="10139"/>
          </w:cols>
          <w:pgMar w:left="320" w:top="985"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107.1</w:t>
      </w:r>
    </w:p>
    <w:p>
      <w:pPr>
        <w:spacing w:after="0" w:line="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2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(Form Type)</w:t>
      </w:r>
    </w:p>
    <w:p>
      <w:pPr>
        <w:spacing w:after="0" w:line="20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The Carlyle Group Inc.</w:t>
      </w:r>
    </w:p>
    <w:p>
      <w:pPr>
        <w:spacing w:after="0" w:line="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u w:val="single" w:color="auto"/>
          <w:color w:val="auto"/>
        </w:rPr>
        <w:t>Table 1: Newly Registered Securities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1160" w:type="dxa"/>
            <w:vAlign w:val="bottom"/>
            <w:tcBorders>
              <w:top w:val="single" w:sz="8" w:color="auto"/>
              <w:left w:val="single" w:sz="8" w:color="auto"/>
              <w:right w:val="single" w:sz="8" w:color="auto"/>
            </w:tcBorders>
          </w:tcPr>
          <w:p>
            <w:pPr>
              <w:spacing w:after="0"/>
              <w:rPr>
                <w:sz w:val="16"/>
                <w:szCs w:val="16"/>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6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Maximum</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44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4"/>
        </w:trPr>
        <w:tc>
          <w:tcPr>
            <w:tcW w:w="11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320" w:type="dxa"/>
            <w:vAlign w:val="bottom"/>
            <w:tcBorders>
              <w:right w:val="single" w:sz="8" w:color="auto"/>
            </w:tcBorders>
            <w:vMerge w:val="continue"/>
          </w:tcPr>
          <w:p>
            <w:pPr>
              <w:spacing w:after="0"/>
              <w:rPr>
                <w:sz w:val="16"/>
                <w:szCs w:val="16"/>
                <w:color w:val="auto"/>
              </w:rPr>
            </w:pPr>
          </w:p>
        </w:tc>
        <w:tc>
          <w:tcPr>
            <w:tcW w:w="132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46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4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6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5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 xml:space="preserve">Registered </w:t>
            </w:r>
            <w:r>
              <w:rPr>
                <w:rFonts w:ascii="Times New Roman" w:cs="Times New Roman" w:eastAsia="Times New Roman" w:hAnsi="Times New Roman"/>
                <w:sz w:val="23"/>
                <w:szCs w:val="23"/>
                <w:b w:val="1"/>
                <w:bCs w:val="1"/>
                <w:color w:val="auto"/>
                <w:w w:val="95"/>
                <w:vertAlign w:val="superscript"/>
              </w:rPr>
              <w:t>(1)</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46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 xml:space="preserve">Offering Price </w:t>
            </w:r>
            <w:r>
              <w:rPr>
                <w:rFonts w:ascii="Times New Roman" w:cs="Times New Roman" w:eastAsia="Times New Roman" w:hAnsi="Times New Roman"/>
                <w:sz w:val="23"/>
                <w:szCs w:val="23"/>
                <w:b w:val="1"/>
                <w:bCs w:val="1"/>
                <w:color w:val="auto"/>
                <w:w w:val="96"/>
                <w:vertAlign w:val="superscript"/>
              </w:rPr>
              <w:t>(2)</w:t>
            </w:r>
          </w:p>
        </w:tc>
        <w:tc>
          <w:tcPr>
            <w:tcW w:w="1440" w:type="dxa"/>
            <w:vAlign w:val="bottom"/>
            <w:tcBorders>
              <w:bottom w:val="single" w:sz="8" w:color="auto"/>
              <w:right w:val="single" w:sz="8" w:color="auto"/>
            </w:tcBorders>
            <w:vMerge w:val="continue"/>
          </w:tcPr>
          <w:p>
            <w:pPr>
              <w:spacing w:after="0"/>
              <w:rPr>
                <w:sz w:val="19"/>
                <w:szCs w:val="19"/>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Registration Fee</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5,300,000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$33.13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$175,589,000</w:t>
            </w: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0.00011020</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$19,350</w:t>
            </w:r>
          </w:p>
        </w:tc>
        <w:tc>
          <w:tcPr>
            <w:tcW w:w="0" w:type="dxa"/>
            <w:vAlign w:val="bottom"/>
          </w:tcPr>
          <w:p>
            <w:pPr>
              <w:spacing w:after="0"/>
              <w:rPr>
                <w:sz w:val="1"/>
                <w:szCs w:val="1"/>
                <w:color w:val="auto"/>
              </w:rPr>
            </w:pPr>
          </w:p>
        </w:tc>
      </w:tr>
      <w:tr>
        <w:trPr>
          <w:trHeight w:val="223"/>
        </w:trPr>
        <w:tc>
          <w:tcPr>
            <w:tcW w:w="24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Offering Amounts Total</w:t>
            </w:r>
          </w:p>
        </w:tc>
        <w:tc>
          <w:tcPr>
            <w:tcW w:w="13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$175,589,000</w:t>
            </w: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$19,350</w:t>
            </w:r>
          </w:p>
        </w:tc>
        <w:tc>
          <w:tcPr>
            <w:tcW w:w="0" w:type="dxa"/>
            <w:vAlign w:val="bottom"/>
          </w:tcPr>
          <w:p>
            <w:pPr>
              <w:spacing w:after="0"/>
              <w:rPr>
                <w:sz w:val="1"/>
                <w:szCs w:val="1"/>
                <w:color w:val="auto"/>
              </w:rPr>
            </w:pPr>
          </w:p>
        </w:tc>
      </w:tr>
      <w:tr>
        <w:trPr>
          <w:trHeight w:val="223"/>
        </w:trPr>
        <w:tc>
          <w:tcPr>
            <w:tcW w:w="248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3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3"/>
        </w:trPr>
        <w:tc>
          <w:tcPr>
            <w:tcW w:w="11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$19,350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60" w:right="120" w:hanging="328"/>
        <w:spacing w:after="0"/>
        <w:tabs>
          <w:tab w:leader="none" w:pos="4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Covers common stock, par value $0.01 per share, of The Carlyle Group Inc. (“Common Stock”) under The Carlyle Group Inc. Amended and Restated 2012 Equity Incentive Plan (the “Plan”) and, pursuant to Rule 416(a) under the Securities Act of 1933, as amended, an indeterminate number of additional shares of Common Stock that may be offered and issued under the Plan to prevent dilution resulting from stock splits, stock distributions or similar transactions.</w:t>
      </w:r>
    </w:p>
    <w:p>
      <w:pPr>
        <w:spacing w:after="0" w:line="2" w:lineRule="exact"/>
        <w:rPr>
          <w:rFonts w:ascii="Times New Roman" w:cs="Times New Roman" w:eastAsia="Times New Roman" w:hAnsi="Times New Roman"/>
          <w:sz w:val="18"/>
          <w:szCs w:val="18"/>
          <w:color w:val="auto"/>
        </w:rPr>
      </w:pPr>
    </w:p>
    <w:p>
      <w:pPr>
        <w:ind w:left="460" w:right="160" w:hanging="328"/>
        <w:spacing w:after="0" w:line="243" w:lineRule="auto"/>
        <w:tabs>
          <w:tab w:leader="none" w:pos="4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457(h)(1) and Rule 457(c) under the Securities Act based on a price of $33.13 per share of Common Stock, which is the average of the high and low price per share of Common Stock as reported by the Nasdaq Global Select Market on January 13, 2023.</w:t>
      </w:r>
    </w:p>
    <w:p>
      <w:pPr>
        <w:sectPr>
          <w:pgSz w:w="11900" w:h="16838" w:orient="portrait"/>
          <w:cols w:equalWidth="0" w:num="1">
            <w:col w:w="11040"/>
          </w:cols>
          <w:pgMar w:left="520" w:top="140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January 20, 2023</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Carlyle 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1001 Pennsylvania Avenue, NW</w:t>
      </w:r>
    </w:p>
    <w:p>
      <w:pPr>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ind w:right="20" w:firstLine="1296"/>
        <w:spacing w:after="0" w:line="409" w:lineRule="auto"/>
        <w:rPr>
          <w:sz w:val="20"/>
          <w:szCs w:val="20"/>
          <w:color w:val="auto"/>
        </w:rPr>
      </w:pPr>
      <w:r>
        <w:rPr>
          <w:rFonts w:ascii="Times New Roman" w:cs="Times New Roman" w:eastAsia="Times New Roman" w:hAnsi="Times New Roman"/>
          <w:sz w:val="22"/>
          <w:szCs w:val="22"/>
          <w:color w:val="auto"/>
        </w:rPr>
        <w:t>We have acted as counsel to The Carlyle Group Inc., a Delaware corporation (the “Company”), in connection with the Registration Statement on Form S-8 (the “Registration Statement”), filed by the Company with the Securities and Exchange Commission (the “Commission”) under the Securities Act of 1933, as amended, relating to the issuance by the Company of up to 5,300,000 shares of common stock of the Company, par value $0.01 (the “Shares”), pursuant to The Carlyle Group Inc. Amended and Restated 2012 Equity Incentive Plan (the “Plan”).</w:t>
      </w:r>
    </w:p>
    <w:p>
      <w:pPr>
        <w:spacing w:after="0" w:line="4" w:lineRule="exact"/>
        <w:rPr>
          <w:sz w:val="20"/>
          <w:szCs w:val="20"/>
          <w:color w:val="auto"/>
        </w:rPr>
      </w:pPr>
    </w:p>
    <w:p>
      <w:pPr>
        <w:ind w:right="80" w:firstLine="1296"/>
        <w:spacing w:after="0" w:line="409" w:lineRule="auto"/>
        <w:rPr>
          <w:sz w:val="20"/>
          <w:szCs w:val="20"/>
          <w:color w:val="auto"/>
        </w:rPr>
      </w:pPr>
      <w:r>
        <w:rPr>
          <w:rFonts w:ascii="Times New Roman" w:cs="Times New Roman" w:eastAsia="Times New Roman" w:hAnsi="Times New Roman"/>
          <w:sz w:val="22"/>
          <w:szCs w:val="22"/>
          <w:color w:val="auto"/>
        </w:rPr>
        <w:t>We have examined the Registration Statement, the Certificate of Incorporation of the Company and the Bylaws of the Company, which have been filed with the Commission as exhibits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5" w:lineRule="exact"/>
        <w:rPr>
          <w:sz w:val="20"/>
          <w:szCs w:val="20"/>
          <w:color w:val="auto"/>
        </w:rPr>
      </w:pPr>
    </w:p>
    <w:p>
      <w:pPr>
        <w:ind w:right="180" w:firstLine="1296"/>
        <w:spacing w:after="0" w:line="409" w:lineRule="auto"/>
        <w:rPr>
          <w:sz w:val="20"/>
          <w:szCs w:val="20"/>
          <w:color w:val="auto"/>
        </w:rPr>
      </w:pPr>
      <w:r>
        <w:rPr>
          <w:rFonts w:ascii="Times New Roman" w:cs="Times New Roman" w:eastAsia="Times New Roman" w:hAnsi="Times New Roman"/>
          <w:sz w:val="22"/>
          <w:szCs w:val="22"/>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4" w:lineRule="exact"/>
        <w:rPr>
          <w:sz w:val="20"/>
          <w:szCs w:val="20"/>
          <w:color w:val="auto"/>
        </w:rPr>
      </w:pPr>
    </w:p>
    <w:p>
      <w:pPr>
        <w:ind w:right="280" w:firstLine="1296"/>
        <w:spacing w:after="0" w:line="423" w:lineRule="auto"/>
        <w:rPr>
          <w:sz w:val="20"/>
          <w:szCs w:val="20"/>
          <w:color w:val="auto"/>
        </w:rPr>
      </w:pPr>
      <w:r>
        <w:rPr>
          <w:rFonts w:ascii="Times New Roman" w:cs="Times New Roman" w:eastAsia="Times New Roman" w:hAnsi="Times New Roman"/>
          <w:sz w:val="22"/>
          <w:szCs w:val="22"/>
          <w:color w:val="auto"/>
        </w:rPr>
        <w:t>Based upon the foregoing, and subject to the qualifications, assumptions and limitations stated herein, we are of the opinion that, upon issuance and delivery in accordance with the Plan, the Shares will be validly issued, fully paid and nonassessable.</w:t>
      </w:r>
    </w:p>
    <w:p>
      <w:pPr>
        <w:sectPr>
          <w:pgSz w:w="11900" w:h="16838" w:orient="portrait"/>
          <w:cols w:equalWidth="0" w:num="1">
            <w:col w:w="11240"/>
          </w:cols>
          <w:pgMar w:left="320" w:top="117" w:right="339" w:bottom="1440" w:gutter="0" w:footer="0" w:header="0"/>
        </w:sectPr>
      </w:pPr>
    </w:p>
    <w:bookmarkStart w:id="9" w:name="page10"/>
    <w:bookmarkEnd w:id="9"/>
    <w:p>
      <w:pPr>
        <w:ind w:left="180"/>
        <w:spacing w:after="0" w:line="429" w:lineRule="auto"/>
        <w:rPr>
          <w:sz w:val="20"/>
          <w:szCs w:val="20"/>
          <w:color w:val="auto"/>
        </w:rPr>
      </w:pPr>
      <w:r>
        <w:rPr>
          <w:rFonts w:ascii="Times New Roman" w:cs="Times New Roman" w:eastAsia="Times New Roman" w:hAnsi="Times New Roman"/>
          <w:sz w:val="21"/>
          <w:szCs w:val="21"/>
          <w:color w:val="auto"/>
        </w:rPr>
        <w:t>We do not express any opinion herein concerning any law other than the Delaware General Corporation Law. We hereby consent to the filing of this opinion letter as Exhibit 5.1 to the Registration Statement and to the use of</w:t>
      </w:r>
    </w:p>
    <w:p>
      <w:pPr>
        <w:spacing w:after="0" w:line="1" w:lineRule="exact"/>
        <w:rPr>
          <w:sz w:val="20"/>
          <w:szCs w:val="20"/>
          <w:color w:val="auto"/>
        </w:rPr>
      </w:pPr>
    </w:p>
    <w:p>
      <w:pPr>
        <w:ind w:left="180" w:right="1500" w:hanging="1295"/>
        <w:spacing w:after="0" w:line="409" w:lineRule="auto"/>
        <w:rPr>
          <w:sz w:val="20"/>
          <w:szCs w:val="20"/>
          <w:color w:val="auto"/>
        </w:rPr>
      </w:pPr>
      <w:r>
        <w:rPr>
          <w:rFonts w:ascii="Times New Roman" w:cs="Times New Roman" w:eastAsia="Times New Roman" w:hAnsi="Times New Roman"/>
          <w:sz w:val="22"/>
          <w:szCs w:val="22"/>
          <w:color w:val="auto"/>
        </w:rPr>
        <w:t>our name under the caption “Interests of Named Experts and Counsel” contained in the Registration Statement. Very truly yours,</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 Simpson Thacher &amp; Bartlett LLP</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SIMPSON THACHER &amp; BARTLETT LLP</w:t>
      </w:r>
    </w:p>
    <w:p>
      <w:pPr>
        <w:sectPr>
          <w:pgSz w:w="11900" w:h="16838" w:orient="portrait"/>
          <w:cols w:equalWidth="0" w:num="1">
            <w:col w:w="10000"/>
          </w:cols>
          <w:pgMar w:left="1440" w:top="1422" w:right="4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Consent of Independent Registered Public Accountng Firm</w:t>
      </w:r>
    </w:p>
    <w:p>
      <w:pPr>
        <w:spacing w:after="0" w:line="231" w:lineRule="exact"/>
        <w:rPr>
          <w:sz w:val="20"/>
          <w:szCs w:val="20"/>
          <w:color w:val="auto"/>
        </w:rPr>
      </w:pPr>
    </w:p>
    <w:p>
      <w:pPr>
        <w:ind w:right="180"/>
        <w:spacing w:after="0" w:line="228" w:lineRule="auto"/>
        <w:rPr>
          <w:sz w:val="20"/>
          <w:szCs w:val="20"/>
          <w:color w:val="auto"/>
        </w:rPr>
      </w:pPr>
      <w:r>
        <w:rPr>
          <w:rFonts w:ascii="Calibri" w:cs="Calibri" w:eastAsia="Calibri" w:hAnsi="Calibri"/>
          <w:sz w:val="18"/>
          <w:szCs w:val="18"/>
          <w:color w:val="auto"/>
        </w:rPr>
        <w:t>We consent to the incorporaton by reference in the Registraton Statement (Form S-8 No. 333-XXXXX) pertaining to The Carlyle Group Inc. Amended &amp; Restated 2012 Equity Incentve Plan of our reports dated February 10, 2022, with respect to the consolidated fnancial statements of The Carlyle Group Inc., and the efectveness of internal control over fnancial reportng of The Carlyle Group Inc., included in its Annual Report (Form 10-K) for the year ended December 31, 2021, fled with the Securites and Exchange Commission.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Tysons, Virginia</w:t>
      </w:r>
    </w:p>
    <w:p>
      <w:pPr>
        <w:spacing w:after="0" w:line="221" w:lineRule="auto"/>
        <w:rPr>
          <w:sz w:val="20"/>
          <w:szCs w:val="20"/>
          <w:color w:val="auto"/>
        </w:rPr>
      </w:pPr>
      <w:r>
        <w:rPr>
          <w:rFonts w:ascii="Calibri" w:cs="Calibri" w:eastAsia="Calibri" w:hAnsi="Calibri"/>
          <w:sz w:val="18"/>
          <w:szCs w:val="18"/>
          <w:color w:val="auto"/>
        </w:rPr>
        <w:t>January 20, 2023</w:t>
      </w:r>
    </w:p>
    <w:p>
      <w:pPr>
        <w:sectPr>
          <w:pgSz w:w="11900" w:h="16838" w:orient="portrait"/>
          <w:cols w:equalWidth="0" w:num="1">
            <w:col w:w="11240"/>
          </w:cols>
          <w:pgMar w:left="320" w:top="846"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Consent of Independent Registered Public Accountng Firm</w:t>
      </w:r>
    </w:p>
    <w:p>
      <w:pPr>
        <w:spacing w:after="0" w:line="231" w:lineRule="exact"/>
        <w:rPr>
          <w:sz w:val="20"/>
          <w:szCs w:val="20"/>
          <w:color w:val="auto"/>
        </w:rPr>
      </w:pPr>
    </w:p>
    <w:p>
      <w:pPr>
        <w:ind w:right="140"/>
        <w:spacing w:after="0" w:line="230" w:lineRule="auto"/>
        <w:rPr>
          <w:sz w:val="20"/>
          <w:szCs w:val="20"/>
          <w:color w:val="auto"/>
        </w:rPr>
      </w:pPr>
      <w:r>
        <w:rPr>
          <w:rFonts w:ascii="Calibri" w:cs="Calibri" w:eastAsia="Calibri" w:hAnsi="Calibri"/>
          <w:sz w:val="18"/>
          <w:szCs w:val="18"/>
          <w:color w:val="auto"/>
        </w:rPr>
        <w:t>We consent to the incorporaton by reference in this Registraton Statement on Form S-8 of The Carlyle Group, Inc. of our reports dated November 12, 2021, with respect to the consolidated fnancial statements of Forttude Group Holdings, LLC, and February 28, 2022 relatng to the consolidated fnancial statements of FGH Parent, L.P., which appear in The Carlyle Group, Inc.'s Form 10-K/A for the year ended December 31, 2021.</w:t>
      </w: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color w:val="auto"/>
        </w:rPr>
        <w:t>/s/ PricewaterhouseCoopers LLP</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color w:val="auto"/>
        </w:rPr>
        <w:t>Nashville, Tennessee</w:t>
      </w:r>
    </w:p>
    <w:p>
      <w:pPr>
        <w:spacing w:after="0" w:line="221" w:lineRule="auto"/>
        <w:rPr>
          <w:sz w:val="20"/>
          <w:szCs w:val="20"/>
          <w:color w:val="auto"/>
        </w:rPr>
      </w:pPr>
      <w:r>
        <w:rPr>
          <w:rFonts w:ascii="Calibri" w:cs="Calibri" w:eastAsia="Calibri" w:hAnsi="Calibri"/>
          <w:sz w:val="18"/>
          <w:szCs w:val="18"/>
          <w:color w:val="auto"/>
        </w:rPr>
        <w:t>January 20, 2023</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37" Type="http://schemas.openxmlformats.org/officeDocument/2006/relationships/image" Target="media/image1.png"/><Relationship Id="rId38" Type="http://schemas.openxmlformats.org/officeDocument/2006/relationships/image" Target="media/image2.png"/><Relationship Id="rId39" Type="http://schemas.openxmlformats.org/officeDocument/2006/relationships/image" Target="media/image3.png"/><Relationship Id="rId40" Type="http://schemas.openxmlformats.org/officeDocument/2006/relationships/image" Target="media/image4.png"/><Relationship Id="rId41" Type="http://schemas.openxmlformats.org/officeDocument/2006/relationships/image" Target="media/image5.png"/><Relationship Id="rId42" Type="http://schemas.openxmlformats.org/officeDocument/2006/relationships/image" Target="media/image6.png"/><Relationship Id="rId43" Type="http://schemas.openxmlformats.org/officeDocument/2006/relationships/image" Target="media/image7.png"/><Relationship Id="rId44" Type="http://schemas.openxmlformats.org/officeDocument/2006/relationships/image" Target="media/image8.png"/><Relationship Id="rId45" Type="http://schemas.openxmlformats.org/officeDocument/2006/relationships/image" Target="media/image9.png"/><Relationship Id="rId8" Type="http://schemas.openxmlformats.org/officeDocument/2006/relationships/hyperlink" Target="http://www.sec.gov/Archives/edgar/data/1527166/000119312512204981/d340175ds8.htm" TargetMode="External"/><Relationship Id="rId9" Type="http://schemas.openxmlformats.org/officeDocument/2006/relationships/hyperlink" Target="http://www.sec.gov/Archives/edgar/data/1527166/000119312513107741/d502025ds8.htm" TargetMode="External"/><Relationship Id="rId10" Type="http://schemas.openxmlformats.org/officeDocument/2006/relationships/hyperlink" Target="http://www.sec.gov/Archives/edgar/data/1527166/000119312514070337/d681246ds8.htm" TargetMode="External"/><Relationship Id="rId11" Type="http://schemas.openxmlformats.org/officeDocument/2006/relationships/hyperlink" Target="http://www.sec.gov/Archives/edgar/data/1527166/000119312515065813/d860925ds8.htm" TargetMode="External"/><Relationship Id="rId12" Type="http://schemas.openxmlformats.org/officeDocument/2006/relationships/hyperlink" Target="http://www.sec.gov/Archives/edgar/data/1527166/000119312516475909/d145828ds8.htm" TargetMode="External"/><Relationship Id="rId13" Type="http://schemas.openxmlformats.org/officeDocument/2006/relationships/hyperlink" Target="http://www.sec.gov/Archives/edgar/data/1527166/000152716617000010/a2016s-8registrationstatem.htm" TargetMode="External"/><Relationship Id="rId14" Type="http://schemas.openxmlformats.org/officeDocument/2006/relationships/hyperlink" Target="http://www.sec.gov/Archives/edgar/data/1527166/000152716618000010/a2018forms-8registration.htm" TargetMode="External"/><Relationship Id="rId15" Type="http://schemas.openxmlformats.org/officeDocument/2006/relationships/hyperlink" Target="http://www.sec.gov/Archives/edgar/data/1527166/000152716619000010/a2019forms-8registrationst.htm" TargetMode="External"/><Relationship Id="rId16" Type="http://schemas.openxmlformats.org/officeDocument/2006/relationships/hyperlink" Target="http://www.sec.gov/Archives/edgar/data/1527166/000119312520000289/d844448ds8pos.htm" TargetMode="External"/><Relationship Id="rId17" Type="http://schemas.openxmlformats.org/officeDocument/2006/relationships/hyperlink" Target="http://www.sec.gov/Archives/edgar/data/1527166/000152716620000009/a2020forms-8registrationst.htm" TargetMode="External"/><Relationship Id="rId18" Type="http://schemas.openxmlformats.org/officeDocument/2006/relationships/hyperlink" Target="http://www.sec.gov/Archives/edgar/data/1527166/000152716621000012/a20orms-8registrationstate.htm" TargetMode="External"/><Relationship Id="rId19" Type="http://schemas.openxmlformats.org/officeDocument/2006/relationships/hyperlink" Target="http://www.sec.gov/ix?doc=/Archives/edgar/data/1527166/000152716622000007/cg-20211231.htm" TargetMode="External"/><Relationship Id="rId20" Type="http://schemas.openxmlformats.org/officeDocument/2006/relationships/hyperlink" Target="http://www.sec.gov/ix?doc=/Archives/edgar/data/1527166/000152716622000012/cg-20211231.htm" TargetMode="External"/><Relationship Id="rId21" Type="http://schemas.openxmlformats.org/officeDocument/2006/relationships/hyperlink" Target="http://www.sec.gov/ix?doc=/Archives/edgar/data/1527166/000152716622000025/cg-20220331.htm" TargetMode="External"/><Relationship Id="rId22" Type="http://schemas.openxmlformats.org/officeDocument/2006/relationships/hyperlink" Target="http://www.sec.gov/ix?doc=/Archives/edgar/data/1527166/000152716622000036/cg-20220630.htm" TargetMode="External"/><Relationship Id="rId23" Type="http://schemas.openxmlformats.org/officeDocument/2006/relationships/hyperlink" Target="http://www.sec.gov/ix?doc=/Archives/edgar/data/1527166/000152716622000041/cg-20220930.htm" TargetMode="External"/><Relationship Id="rId24" Type="http://schemas.openxmlformats.org/officeDocument/2006/relationships/hyperlink" Target="http://www.sec.gov/ix?doc=/Archives/edgar/data/1527166/000152716622000009/cg-20220211.htm" TargetMode="External"/><Relationship Id="rId25" Type="http://schemas.openxmlformats.org/officeDocument/2006/relationships/hyperlink" Target="http://www.sec.gov/ix?doc=/Archives/edgar/data/1527166/000152716622000016/cg-20220211.htm" TargetMode="External"/><Relationship Id="rId26" Type="http://schemas.openxmlformats.org/officeDocument/2006/relationships/hyperlink" Target="http://www.sec.gov/ix?doc=/Archives/edgar/data/1527166/000119312522073383/d296075d8k.htm" TargetMode="External"/><Relationship Id="rId27" Type="http://schemas.openxmlformats.org/officeDocument/2006/relationships/hyperlink" Target="http://www.sec.gov/ix?doc=/Archives/edgar/data/1527166/000119312522080563/d312910d8k.htm" TargetMode="External"/><Relationship Id="rId28" Type="http://schemas.openxmlformats.org/officeDocument/2006/relationships/hyperlink" Target="http://www.sec.gov/ix?doc=/Archives/edgar/data/1527166/000152716622000027/cg-20220429.htm" TargetMode="External"/><Relationship Id="rId29" Type="http://schemas.openxmlformats.org/officeDocument/2006/relationships/hyperlink" Target="http://www.sec.gov/ix?doc=/Archives/edgar/data/1527166/000152716622000029/cg-20220531.htm" TargetMode="External"/><Relationship Id="rId30" Type="http://schemas.openxmlformats.org/officeDocument/2006/relationships/hyperlink" Target="http://www.sec.gov/ix?doc=/Archives/edgar/data/1527166/000152716622000031/cg-20220701.htm" TargetMode="External"/><Relationship Id="rId31" Type="http://schemas.openxmlformats.org/officeDocument/2006/relationships/hyperlink" Target="http://www.sec.gov/ix?doc=/Archives/edgar/data/1527166/000119312522207826/d386301d8k.htm" TargetMode="External"/><Relationship Id="rId32" Type="http://schemas.openxmlformats.org/officeDocument/2006/relationships/hyperlink" Target="http://www.sec.gov/ix?doc=/Archives/edgar/data/1527166/000119312522214185/d418314d8k.htm" TargetMode="External"/><Relationship Id="rId33" Type="http://schemas.openxmlformats.org/officeDocument/2006/relationships/hyperlink" Target="https://www.sec.gov/Archives/edgar/data/1527166/000152716622000012/cg_20211231x10-kaxex414.htm" TargetMode="External"/><Relationship Id="rId34" Type="http://schemas.openxmlformats.org/officeDocument/2006/relationships/hyperlink" Target="http://www.sec.gov/Archives/edgar/data/1527166/000119312520000160/d854789dex32.htm" TargetMode="External"/><Relationship Id="rId35" Type="http://schemas.openxmlformats.org/officeDocument/2006/relationships/hyperlink" Target="http://www.sec.gov/Archives/edgar/data/1527166/000119312520000160/d854789dex33.htm" TargetMode="External"/><Relationship Id="rId36" Type="http://schemas.openxmlformats.org/officeDocument/2006/relationships/hyperlink" Target="http://www.sec.gov/Archives/edgar/data/1527166/000152716621000035/cg20210601_8-k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2023-01-20T15:11:48Z</dcterms:created>
  <dcterms:modified xsi:type="dcterms:W3CDTF">2023-01-20T15:11:48Z</dcterms:modified>
</cp:coreProperties>
</file>