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7601.xml.htm"/>
      <w:bookmarkStart w:id="1" w:name="kswkform4_17858776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Andrews Charles Elliott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AVENUE,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Carlyle Group Inc.</w:t>
              </w:r>
            </w:hyperlink>
            <w:r>
              <w:rPr/>
              <w:t xml:space="preserve"> [ </w:t>
            </w:r>
            <w:r>
              <w:rPr>
                <w:rFonts w:ascii="Times;serif" w:hAnsi="Times;serif"/>
                <w:color w:val="0000FF"/>
                <w:sz w:val="24"/>
                <w:shd w:fill="FFFFFF" w:val="clear"/>
              </w:rPr>
              <w:t>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46.02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135,364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that have been withheld by the Issuer in connection with the payment of taxes resulting from the vesting of previously reported restricted stock unit awards (including previously reported dividend equivalent units accrued thereon, as applicable). No shares of common stock were sold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K. Frederick by Power of Attorney for Charles E. Andrews,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2283" TargetMode="External"/><Relationship Id="rId5" Type="http://schemas.openxmlformats.org/officeDocument/2006/relationships/hyperlink" Target="http://www.sec.gov/cgi-bin/browse-edgar?action=getcompany&amp;CIK=00015271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3418</Characters>
  <CharactersWithSpaces>3976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