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Carlyle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THE CARLYLE GROUP</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 PENNSYLVANIA AVENUE, N.W.</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WASHINGTON</w:t>
            </w:r>
            <w:r>
              <w:rPr/>
              <w:t xml:space="preserve">, </w:t>
            </w:r>
            <w:r>
              <w:rPr>
                <w:rFonts w:ascii="Times;serif" w:hAnsi="Times;serif"/>
                <w:color w:val="0000FF"/>
                <w:sz w:val="24"/>
                <w:shd w:fill="FFFFFF" w:val="clear"/>
              </w:rPr>
              <w:t>DC</w:t>
            </w:r>
            <w:r>
              <w:rPr/>
              <w:t xml:space="preserve">  </w:t>
            </w:r>
            <w:r>
              <w:rPr>
                <w:rFonts w:ascii="Times;serif" w:hAnsi="Times;serif"/>
                <w:color w:val="0000FF"/>
                <w:sz w:val="24"/>
                <w:shd w:fill="FFFFFF" w:val="clear"/>
              </w:rPr>
              <w:t>20004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028-15025</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111,128</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801-52462</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19"/>
        <w:gridCol w:w="50"/>
        <w:gridCol w:w="2168"/>
        <w:gridCol w:w="1265"/>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8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Jeffrey W. Ferguson</w:t>
            </w:r>
          </w:p>
        </w:tc>
      </w:tr>
      <w:tr>
        <w:trPr/>
        <w:tc>
          <w:tcPr>
            <w:tcW w:w="16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8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Counsel</w:t>
            </w:r>
          </w:p>
        </w:tc>
      </w:tr>
      <w:tr>
        <w:trPr/>
        <w:tc>
          <w:tcPr>
            <w:tcW w:w="16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8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202-729-5626</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69"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Jeffrey W. Ferguson</w:t>
            </w:r>
          </w:p>
        </w:tc>
        <w:tc>
          <w:tcPr>
            <w:tcW w:w="216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Washington</w:t>
            </w:r>
            <w:r>
              <w:rPr>
                <w:rFonts w:ascii="Times;serif" w:hAnsi="Times;serif"/>
                <w:color w:val="0000FF"/>
                <w:sz w:val="24"/>
              </w:rPr>
              <w:t xml:space="preserve">,  </w:t>
            </w:r>
            <w:r>
              <w:rPr>
                <w:rFonts w:ascii="Times;serif" w:hAnsi="Times;serif"/>
                <w:color w:val="0000FF"/>
                <w:sz w:val="24"/>
                <w:shd w:fill="FFFFFF" w:val="clear"/>
              </w:rPr>
              <w:t>DC</w:t>
            </w:r>
            <w:r>
              <w:rPr>
                <w:rFonts w:ascii="Times;serif" w:hAnsi="Times;serif"/>
                <w:color w:val="0000FF"/>
                <w:sz w:val="24"/>
              </w:rPr>
              <w:t xml:space="preserve"> </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05-08-2026</w:t>
            </w:r>
          </w:p>
        </w:tc>
      </w:tr>
      <w:tr>
        <w:trPr/>
        <w:tc>
          <w:tcPr>
            <w:tcW w:w="1669"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6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Explanatory Note 1: AlpInvest Partners B.V. is an indirectly wholly owned investment adviser of The Carlyle Group Inc. However, The Carlyle Group Inc. does not participate in any investment decision-making of AlpInvest Partners B.V. Explanatory Note 2: In August 2022, The Carlyle Group Inc. completed its acquisition of the Abingworth group, a life sciences investment firm. As a result of the acquisition, Abingworth LLP became a relying advisor of Carlyle Investment Management L.L.C.</w:t>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203"/>
        <w:gridCol w:w="510"/>
        <w:gridCol w:w="1021"/>
        <w:gridCol w:w="8471"/>
      </w:tblGrid>
      <w:tr>
        <w:trPr/>
        <w:tc>
          <w:tcPr>
            <w:tcW w:w="10205"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Managers Reporting for this Manager:</w:t>
              <w:br/>
              <w:t>[If there are no entries in this list, omit this section.]</w:t>
            </w:r>
          </w:p>
        </w:tc>
      </w:tr>
      <w:tr>
        <w:trPr/>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84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r>
      <w:tr>
        <w:trPr/>
        <w:tc>
          <w:tcPr>
            <w:tcW w:w="713" w:type="dxa"/>
            <w:gridSpan w:val="2"/>
            <w:tcBorders/>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028-15646</w:t>
            </w:r>
          </w:p>
        </w:tc>
        <w:tc>
          <w:tcPr>
            <w:tcW w:w="847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AlpInvest Partners B.V.</w:t>
            </w:r>
          </w:p>
        </w:tc>
      </w:tr>
    </w:tbl>
    <w:tbl>
      <w:tblPr>
        <w:tblW w:w="5000" w:type="pct"/>
        <w:jc w:val="left"/>
        <w:tblInd w:w="0" w:type="dxa"/>
        <w:tblLayout w:type="fixed"/>
        <w:tblCellMar>
          <w:top w:w="28" w:type="dxa"/>
          <w:left w:w="28" w:type="dxa"/>
          <w:bottom w:w="28" w:type="dxa"/>
          <w:right w:w="28" w:type="dxa"/>
        </w:tblCellMar>
      </w:tblPr>
      <w:tblGrid>
        <w:gridCol w:w="136"/>
        <w:gridCol w:w="7896"/>
        <w:gridCol w:w="1617"/>
        <w:gridCol w:w="225"/>
        <w:gridCol w:w="331"/>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6" w:type="dxa"/>
            <w:tcBorders/>
            <w:vAlign w:val="center"/>
          </w:tcPr>
          <w:p>
            <w:pPr>
              <w:pStyle w:val="TableContents"/>
              <w:bidi w:val="0"/>
              <w:spacing w:before="0" w:after="283"/>
              <w:jc w:val="left"/>
              <w:rPr>
                <w:sz w:val="4"/>
                <w:szCs w:val="4"/>
              </w:rPr>
            </w:pPr>
            <w:r>
              <w:rPr>
                <w:sz w:val="4"/>
                <w:szCs w:val="4"/>
              </w:rPr>
            </w:r>
          </w:p>
        </w:tc>
        <w:tc>
          <w:tcPr>
            <w:tcW w:w="10069"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20</w:t>
            </w:r>
          </w:p>
        </w:tc>
        <w:tc>
          <w:tcPr>
            <w:tcW w:w="556" w:type="dxa"/>
            <w:gridSpan w:val="2"/>
            <w:tcBorders/>
          </w:tcPr>
          <w:p>
            <w:pPr>
              <w:pStyle w:val="TableContents"/>
              <w:bidi w:val="0"/>
              <w:spacing w:before="0" w:after="283"/>
              <w:jc w:val="left"/>
              <w:rPr>
                <w:sz w:val="4"/>
                <w:szCs w:val="4"/>
              </w:rPr>
            </w:pPr>
            <w:r>
              <w:rPr>
                <w:sz w:val="4"/>
                <w:szCs w:val="4"/>
              </w:rPr>
            </w:r>
          </w:p>
        </w:tc>
      </w:tr>
      <w:tr>
        <w:trPr/>
        <w:tc>
          <w:tcPr>
            <w:tcW w:w="136"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61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10,619,090,498</w:t>
            </w:r>
          </w:p>
        </w:tc>
        <w:tc>
          <w:tcPr>
            <w:tcW w:w="556" w:type="dxa"/>
            <w:gridSpan w:val="2"/>
            <w:tcBorders/>
          </w:tcPr>
          <w:p>
            <w:pPr>
              <w:pStyle w:val="TableContents"/>
              <w:bidi w:val="0"/>
              <w:spacing w:before="0" w:after="283"/>
              <w:jc w:val="left"/>
              <w:rPr>
                <w:sz w:val="4"/>
                <w:szCs w:val="4"/>
              </w:rPr>
            </w:pPr>
            <w:r>
              <w:rPr>
                <w:sz w:val="4"/>
                <w:szCs w:val="4"/>
              </w:rPr>
            </w:r>
          </w:p>
        </w:tc>
      </w:tr>
      <w:tr>
        <w:trPr/>
        <w:tc>
          <w:tcPr>
            <w:tcW w:w="8032" w:type="dxa"/>
            <w:gridSpan w:val="2"/>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7"/>
        <w:gridCol w:w="895"/>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Abingworth LLP</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028-14285</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000163213</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802-75741</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0001397144</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Carlyle Investment Management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028-12429</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000111128</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801-52462</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0001354120</w:t>
            </w:r>
          </w:p>
        </w:tc>
      </w:tr>
      <w:tr>
        <w:trPr/>
        <w:tc>
          <w:tcPr>
            <w:tcW w:w="357"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CIM Global, L.L.C.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028-15024</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000114795</w:t>
            </w:r>
          </w:p>
        </w:tc>
        <w:tc>
          <w:tcPr>
            <w:tcW w:w="1791"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0001555793</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form13fInfoTable.xml.htm"/>
      <w:bookmarkStart w:id="5" w:name="ksform13fInfoTable"/>
      <w:bookmarkStart w:id="6" w:name="form13fInfoTable.xml.htm"/>
      <w:bookmarkStart w:id="7" w:name="ksform13f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110" w:type="dxa"/>
        <w:jc w:val="left"/>
        <w:tblInd w:w="0" w:type="dxa"/>
        <w:tblLayout w:type="fixed"/>
        <w:tblCellMar>
          <w:top w:w="60" w:type="dxa"/>
          <w:left w:w="60" w:type="dxa"/>
          <w:bottom w:w="60" w:type="dxa"/>
          <w:right w:w="60" w:type="dxa"/>
        </w:tblCellMar>
      </w:tblPr>
      <w:tblGrid>
        <w:gridCol w:w="1670"/>
        <w:gridCol w:w="1190"/>
        <w:gridCol w:w="1325"/>
        <w:gridCol w:w="590"/>
        <w:gridCol w:w="1520"/>
        <w:gridCol w:w="1340"/>
        <w:gridCol w:w="665"/>
        <w:gridCol w:w="755"/>
        <w:gridCol w:w="1715"/>
        <w:gridCol w:w="1370"/>
        <w:gridCol w:w="785"/>
        <w:gridCol w:w="1340"/>
        <w:gridCol w:w="845"/>
      </w:tblGrid>
      <w:tr>
        <w:trPr/>
        <w:tc>
          <w:tcPr>
            <w:tcW w:w="167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1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7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97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915" w:type="dxa"/>
            <w:gridSpan w:val="2"/>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97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6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5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78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Adicet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007002207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1,255,048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CubeSmart</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229663109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8,081,325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220,500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Exicure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30205M309</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56,328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Forward Air Corp</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34986A104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1,791,546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107,214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Getty Images Holdings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374275105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4,946,256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6,234,252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6,234,252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Heartflow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42238D107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497,256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20,438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Invitation Homes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46187W107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16,502,885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664,100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Jasper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471871202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934,195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1,066,189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Krispy Kreme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50101L106</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1,155,136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340,748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Medline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58507V107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8,325,225,229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187,083,713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187,083,713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N-able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62878D100</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437,728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Onkure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68277Q105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1,117,365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269,895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Phathom Pharmaceuticals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71722W107</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38,849,537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3,496,808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Pony Ai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732908108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22,301,500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2,362,447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2,362,447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Q32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746964105</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7,079,597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1,102,741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1,102,741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Robinhood Mkts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770700102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233,957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Spruce Biosciences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85209E208</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2,523,833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Spyre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00773J202</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485,233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Standardaero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85423L103</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2,184,883,114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84,587,035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84,587,035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6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SunPower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20460L104</w:t>
            </w:r>
          </w:p>
        </w:tc>
        <w:tc>
          <w:tcPr>
            <w:tcW w:w="590" w:type="dxa"/>
            <w:tcBorders/>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550,111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433,158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w:t>
            </w:r>
          </w:p>
        </w:tc>
        <w:tc>
          <w:tcPr>
            <w:tcW w:w="78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433,158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890</Words>
  <Characters>4673</Characters>
  <CharactersWithSpaces>5276</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